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66"/>
      <w:r>
        <w:rPr>
          <w:rFonts w:hint="eastAsia" w:asciiTheme="minorHAnsi" w:hAnsiTheme="minorHAnsi" w:cstheme="minorHAnsi"/>
          <w:b w:val="0"/>
          <w:sz w:val="30"/>
        </w:rPr>
        <w:t>JPBJ-609L型便携式溶解氧测定仪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JPBJ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609L型便携式溶解氧测定仪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30" w:type="pct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HW-050200C01</w:t>
            </w:r>
            <w:r>
              <w:rPr>
                <w:rFonts w:hint="eastAsia"/>
                <w:sz w:val="24"/>
                <w:szCs w:val="24"/>
              </w:rPr>
              <w:t>充电器5V 2A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便携式防护箱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35D64"/>
    <w:rsid w:val="479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entury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2021-11-15T06:25:00Z</dcterms:created>
  <dc:creator>Lenovo</dc:creator>
  <cp:lastModifiedBy>Lenovo</cp:lastModifiedBy>
  <dcterms:modified xsi:type="dcterms:W3CDTF">2021-11-15T06:25:48Z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DEA22C6F5A1D43A394BE2E91B5DF172A</vt:lpwstr>
  </property>
</Properties>
</file>