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0" w:name="_Toc82000543"/>
      <w:r>
        <w:rPr>
          <w:rFonts w:asciiTheme="minorHAnsi" w:hAnsiTheme="minorHAnsi" w:cstheme="minorHAnsi"/>
          <w:b w:val="0"/>
          <w:sz w:val="30"/>
        </w:rPr>
        <w:t>PHB-4型便携式pH计</w:t>
      </w:r>
      <w:bookmarkEnd w:id="0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5698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序号</w:t>
            </w:r>
          </w:p>
        </w:tc>
        <w:tc>
          <w:tcPr>
            <w:tcW w:w="334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名称及规格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PHB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4型便携式pH计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E-201F型pH复合电极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pH缓冲液粉剂pH4.00、6.86、9.18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各5包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343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HW-050200C01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充电器5V 2A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343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电极挂架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343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MicroUSB连接线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343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防护套（安装于主机）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343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腕带组装件（小）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343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简易操作指南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343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使用说明书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3343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产品合格证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1份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85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2021-09-28T01:05:02Z</dcterms:created>
  <dc:creator>Lenovo</dc:creator>
  <cp:lastModifiedBy>Lenovo</cp:lastModifiedBy>
  <dcterms:modified xsi:type="dcterms:W3CDTF">2021-09-28T01:05:07Z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